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01f1e"/>
          <w:sz w:val="22"/>
          <w:szCs w:val="22"/>
          <w:highlight w:val="white"/>
        </w:rPr>
      </w:pPr>
      <w:r w:rsidDel="00000000" w:rsidR="00000000" w:rsidRPr="00000000">
        <w:rPr>
          <w:b w:val="1"/>
          <w:sz w:val="22"/>
          <w:szCs w:val="22"/>
          <w:rtl w:val="0"/>
        </w:rPr>
        <w:t xml:space="preserve">Appendix to </w:t>
      </w:r>
      <w:r w:rsidDel="00000000" w:rsidR="00000000" w:rsidRPr="00000000">
        <w:rPr>
          <w:b w:val="1"/>
          <w:color w:val="201f1e"/>
          <w:sz w:val="22"/>
          <w:szCs w:val="22"/>
          <w:highlight w:val="white"/>
          <w:rtl w:val="0"/>
        </w:rPr>
        <w:t xml:space="preserve">Request for Proposals on “Tracking Climate Solutions in Georgia”</w:t>
      </w:r>
    </w:p>
    <w:p w:rsidR="00000000" w:rsidDel="00000000" w:rsidP="00000000" w:rsidRDefault="00000000" w:rsidRPr="00000000" w14:paraId="00000002">
      <w:pPr>
        <w:jc w:val="center"/>
        <w:rPr>
          <w:b w:val="1"/>
          <w:i w:val="1"/>
          <w:color w:val="201f1e"/>
          <w:sz w:val="18"/>
          <w:szCs w:val="18"/>
          <w:highlight w:val="white"/>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sz w:val="22"/>
          <w:szCs w:val="22"/>
          <w:rtl w:val="0"/>
        </w:rPr>
        <w:t xml:space="preserve">  </w:t>
      </w:r>
    </w:p>
    <w:p w:rsidR="00000000" w:rsidDel="00000000" w:rsidP="00000000" w:rsidRDefault="00000000" w:rsidRPr="00000000" w14:paraId="00000004">
      <w:pPr>
        <w:rPr>
          <w:b w:val="1"/>
          <w:sz w:val="22"/>
          <w:szCs w:val="22"/>
        </w:rPr>
      </w:pPr>
      <w:r w:rsidDel="00000000" w:rsidR="00000000" w:rsidRPr="00000000">
        <w:rPr>
          <w:b w:val="1"/>
          <w:sz w:val="22"/>
          <w:szCs w:val="22"/>
          <w:rtl w:val="0"/>
        </w:rPr>
        <w:t xml:space="preserve">Deliverables &amp; Tentative Schedule </w:t>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numPr>
          <w:ilvl w:val="0"/>
          <w:numId w:val="1"/>
        </w:numPr>
        <w:ind w:left="720" w:hanging="360"/>
        <w:rPr>
          <w:i w:val="1"/>
          <w:sz w:val="22"/>
          <w:szCs w:val="22"/>
        </w:rPr>
      </w:pPr>
      <w:r w:rsidDel="00000000" w:rsidR="00000000" w:rsidRPr="00000000">
        <w:rPr>
          <w:sz w:val="22"/>
          <w:szCs w:val="22"/>
          <w:rtl w:val="0"/>
        </w:rPr>
        <w:t xml:space="preserve">Winning grants selected—</w:t>
      </w:r>
      <w:r w:rsidDel="00000000" w:rsidR="00000000" w:rsidRPr="00000000">
        <w:rPr>
          <w:i w:val="1"/>
          <w:sz w:val="22"/>
          <w:szCs w:val="22"/>
          <w:rtl w:val="0"/>
        </w:rPr>
        <w:t xml:space="preserve">April 30, 2023</w:t>
      </w:r>
    </w:p>
    <w:p w:rsidR="00000000" w:rsidDel="00000000" w:rsidP="00000000" w:rsidRDefault="00000000" w:rsidRPr="00000000" w14:paraId="00000007">
      <w:pPr>
        <w:numPr>
          <w:ilvl w:val="0"/>
          <w:numId w:val="1"/>
        </w:numPr>
        <w:ind w:left="720" w:hanging="360"/>
        <w:rPr>
          <w:sz w:val="22"/>
          <w:szCs w:val="22"/>
        </w:rPr>
      </w:pPr>
      <w:r w:rsidDel="00000000" w:rsidR="00000000" w:rsidRPr="00000000">
        <w:rPr>
          <w:sz w:val="22"/>
          <w:szCs w:val="22"/>
          <w:rtl w:val="0"/>
        </w:rPr>
        <w:t xml:space="preserve">Grants processed with winning institutions—</w:t>
      </w:r>
      <w:r w:rsidDel="00000000" w:rsidR="00000000" w:rsidRPr="00000000">
        <w:rPr>
          <w:i w:val="1"/>
          <w:sz w:val="22"/>
          <w:szCs w:val="22"/>
          <w:rtl w:val="0"/>
        </w:rPr>
        <w:t xml:space="preserve">May 31, 2023</w:t>
      </w:r>
    </w:p>
    <w:p w:rsidR="00000000" w:rsidDel="00000000" w:rsidP="00000000" w:rsidRDefault="00000000" w:rsidRPr="00000000" w14:paraId="00000008">
      <w:pPr>
        <w:numPr>
          <w:ilvl w:val="0"/>
          <w:numId w:val="1"/>
        </w:numPr>
        <w:ind w:left="720" w:hanging="360"/>
        <w:rPr>
          <w:i w:val="1"/>
          <w:sz w:val="22"/>
          <w:szCs w:val="22"/>
        </w:rPr>
      </w:pPr>
      <w:r w:rsidDel="00000000" w:rsidR="00000000" w:rsidRPr="00000000">
        <w:rPr>
          <w:sz w:val="22"/>
          <w:szCs w:val="22"/>
          <w:rtl w:val="0"/>
        </w:rPr>
        <w:t xml:space="preserve">Outline of the final report and a description of the data to be used.—</w:t>
      </w:r>
      <w:r w:rsidDel="00000000" w:rsidR="00000000" w:rsidRPr="00000000">
        <w:rPr>
          <w:i w:val="1"/>
          <w:sz w:val="22"/>
          <w:szCs w:val="22"/>
          <w:rtl w:val="0"/>
        </w:rPr>
        <w:t xml:space="preserve">June 30, 2023</w:t>
      </w:r>
    </w:p>
    <w:p w:rsidR="00000000" w:rsidDel="00000000" w:rsidP="00000000" w:rsidRDefault="00000000" w:rsidRPr="00000000" w14:paraId="00000009">
      <w:pPr>
        <w:numPr>
          <w:ilvl w:val="0"/>
          <w:numId w:val="1"/>
        </w:numPr>
        <w:ind w:left="720" w:hanging="360"/>
        <w:rPr>
          <w:i w:val="1"/>
          <w:sz w:val="22"/>
          <w:szCs w:val="22"/>
        </w:rPr>
      </w:pPr>
      <w:r w:rsidDel="00000000" w:rsidR="00000000" w:rsidRPr="00000000">
        <w:rPr>
          <w:sz w:val="22"/>
          <w:szCs w:val="22"/>
          <w:rtl w:val="0"/>
        </w:rPr>
        <w:t xml:space="preserve">Draft report of approximately 5,000 words, including maps and graphics.—  </w:t>
      </w:r>
      <w:r w:rsidDel="00000000" w:rsidR="00000000" w:rsidRPr="00000000">
        <w:rPr>
          <w:i w:val="1"/>
          <w:sz w:val="22"/>
          <w:szCs w:val="22"/>
          <w:rtl w:val="0"/>
        </w:rPr>
        <w:t xml:space="preserve">August 15, 2023</w:t>
      </w:r>
    </w:p>
    <w:p w:rsidR="00000000" w:rsidDel="00000000" w:rsidP="00000000" w:rsidRDefault="00000000" w:rsidRPr="00000000" w14:paraId="0000000A">
      <w:pPr>
        <w:numPr>
          <w:ilvl w:val="0"/>
          <w:numId w:val="1"/>
        </w:numPr>
        <w:ind w:left="720" w:hanging="360"/>
        <w:rPr>
          <w:sz w:val="22"/>
          <w:szCs w:val="22"/>
        </w:rPr>
      </w:pPr>
      <w:r w:rsidDel="00000000" w:rsidR="00000000" w:rsidRPr="00000000">
        <w:rPr>
          <w:sz w:val="22"/>
          <w:szCs w:val="22"/>
          <w:rtl w:val="0"/>
        </w:rPr>
        <w:t xml:space="preserve">Final report with supplemental appendices describing the data used in the maps and graphics and including data files.—</w:t>
      </w:r>
      <w:r w:rsidDel="00000000" w:rsidR="00000000" w:rsidRPr="00000000">
        <w:rPr>
          <w:i w:val="1"/>
          <w:sz w:val="22"/>
          <w:szCs w:val="22"/>
          <w:rtl w:val="0"/>
        </w:rPr>
        <w:t xml:space="preserve">September 30, 2023</w:t>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b w:val="1"/>
          <w:sz w:val="22"/>
          <w:szCs w:val="22"/>
        </w:rPr>
      </w:pPr>
      <w:r w:rsidDel="00000000" w:rsidR="00000000" w:rsidRPr="00000000">
        <w:rPr>
          <w:sz w:val="22"/>
          <w:szCs w:val="22"/>
          <w:rtl w:val="0"/>
        </w:rPr>
        <w:t xml:space="preserve">While the Drawdown Georgia project wants rights to use the data you collect on climate solutions, this should not prevent research teams from publishing their results. Indeed, this is encouraged. Data from the grants will be used to create a Drawdown Georgia Climate Solutions Tracker, through which the geo-coded data will be publicly available for the purpose of accelerating the uptake of climate solutions in Georgia.</w:t>
      </w:r>
      <w:r w:rsidDel="00000000" w:rsidR="00000000" w:rsidRPr="00000000">
        <w:rPr>
          <w:b w:val="1"/>
          <w:sz w:val="22"/>
          <w:szCs w:val="22"/>
          <w:rtl w:val="0"/>
        </w:rPr>
        <w:t xml:space="preserve">Data Submission:</w:t>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rPr>
          <w:sz w:val="22"/>
          <w:szCs w:val="22"/>
        </w:rPr>
      </w:pPr>
      <w:r w:rsidDel="00000000" w:rsidR="00000000" w:rsidRPr="00000000">
        <w:rPr>
          <w:sz w:val="22"/>
          <w:szCs w:val="22"/>
          <w:rtl w:val="0"/>
        </w:rPr>
        <w:t xml:space="preserve">The data should be geo-coded and submitted at the time of the final report. Geocoding could be done by latitude/longitude, zip codes, census tracts, local jurisdictions, counties or FIPs codes, or polygons. For geographic data, we prefer shapefiles at the highest reasonable spatial resolution.  For non-spatial datasets, spreadsheets would be okay, but we’d like even non-spatial data to have geographic identifiers if they’re available.  Those could be county names or FIPS codes, city names, zip codes, etc.</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sz w:val="22"/>
          <w:szCs w:val="22"/>
          <w:rtl w:val="0"/>
        </w:rPr>
        <w:t xml:space="preserve">If metadata is developed, provide references to the original raw data sources, and a description of the analytical, modeling, interpolation, or downscaling procedures that were applied to the original data, plus information on the time period covered by the data and how frequently the data is updated.</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sz w:val="22"/>
          <w:szCs w:val="22"/>
        </w:rPr>
      </w:pPr>
      <w:r w:rsidDel="00000000" w:rsidR="00000000" w:rsidRPr="00000000">
        <w:rPr>
          <w:b w:val="1"/>
          <w:sz w:val="22"/>
          <w:szCs w:val="22"/>
          <w:rtl w:val="0"/>
        </w:rPr>
        <w:t xml:space="preserve">Sources of spatial data for these solutions are highly variable. Examples include: </w:t>
      </w:r>
    </w:p>
    <w:p w:rsidR="00000000" w:rsidDel="00000000" w:rsidP="00000000" w:rsidRDefault="00000000" w:rsidRPr="00000000" w14:paraId="00000013">
      <w:pPr>
        <w:rPr>
          <w:b w:val="1"/>
          <w:sz w:val="22"/>
          <w:szCs w:val="22"/>
        </w:rPr>
      </w:pPr>
      <w:r w:rsidDel="00000000" w:rsidR="00000000" w:rsidRPr="00000000">
        <w:rPr>
          <w:rtl w:val="0"/>
        </w:rPr>
      </w:r>
    </w:p>
    <w:p w:rsidR="00000000" w:rsidDel="00000000" w:rsidP="00000000" w:rsidRDefault="00000000" w:rsidRPr="00000000" w14:paraId="00000014">
      <w:pPr>
        <w:numPr>
          <w:ilvl w:val="0"/>
          <w:numId w:val="2"/>
        </w:numPr>
        <w:ind w:left="720" w:hanging="360"/>
        <w:rPr>
          <w:rFonts w:ascii="Calibri" w:cs="Calibri" w:eastAsia="Calibri" w:hAnsi="Calibri"/>
          <w:sz w:val="22"/>
          <w:szCs w:val="22"/>
        </w:rPr>
      </w:pPr>
      <w:r w:rsidDel="00000000" w:rsidR="00000000" w:rsidRPr="00000000">
        <w:rPr>
          <w:sz w:val="22"/>
          <w:szCs w:val="22"/>
          <w:rtl w:val="0"/>
        </w:rPr>
        <w:t xml:space="preserve">Government sources such as the American Community Survey and the U.S. Census of Population. </w:t>
      </w:r>
    </w:p>
    <w:p w:rsidR="00000000" w:rsidDel="00000000" w:rsidP="00000000" w:rsidRDefault="00000000" w:rsidRPr="00000000" w14:paraId="00000015">
      <w:pPr>
        <w:numPr>
          <w:ilvl w:val="0"/>
          <w:numId w:val="2"/>
        </w:numPr>
        <w:ind w:left="720" w:hanging="360"/>
        <w:rPr>
          <w:rFonts w:ascii="Calibri" w:cs="Calibri" w:eastAsia="Calibri" w:hAnsi="Calibri"/>
          <w:sz w:val="22"/>
          <w:szCs w:val="22"/>
        </w:rPr>
      </w:pPr>
      <w:r w:rsidDel="00000000" w:rsidR="00000000" w:rsidRPr="00000000">
        <w:rPr>
          <w:sz w:val="22"/>
          <w:szCs w:val="22"/>
          <w:rtl w:val="0"/>
        </w:rPr>
        <w:t xml:space="preserve">Trade associations and companies such as S&amp;P Global, ESRI, Bloomberg, or Wood MacKenzie. Scraping data from the Internet is another option. </w:t>
      </w:r>
    </w:p>
    <w:p w:rsidR="00000000" w:rsidDel="00000000" w:rsidP="00000000" w:rsidRDefault="00000000" w:rsidRPr="00000000" w14:paraId="00000016">
      <w:pPr>
        <w:numPr>
          <w:ilvl w:val="0"/>
          <w:numId w:val="2"/>
        </w:numPr>
        <w:ind w:left="720" w:hanging="360"/>
        <w:rPr>
          <w:rFonts w:ascii="Calibri" w:cs="Calibri" w:eastAsia="Calibri" w:hAnsi="Calibri"/>
          <w:sz w:val="22"/>
          <w:szCs w:val="22"/>
        </w:rPr>
      </w:pPr>
      <w:r w:rsidDel="00000000" w:rsidR="00000000" w:rsidRPr="00000000">
        <w:rPr>
          <w:sz w:val="22"/>
          <w:szCs w:val="22"/>
          <w:rtl w:val="0"/>
        </w:rPr>
        <w:t xml:space="preserve">Contacting major suppliers of equipment and appliances is also a possibility, such as Home Depot and </w:t>
      </w:r>
      <w:r w:rsidDel="00000000" w:rsidR="00000000" w:rsidRPr="00000000">
        <w:rPr>
          <w:sz w:val="22"/>
          <w:szCs w:val="22"/>
          <w:rtl w:val="0"/>
        </w:rPr>
        <w:t xml:space="preserve">Lowes</w:t>
      </w:r>
      <w:r w:rsidDel="00000000" w:rsidR="00000000" w:rsidRPr="00000000">
        <w:rPr>
          <w:sz w:val="22"/>
          <w:szCs w:val="22"/>
          <w:rtl w:val="0"/>
        </w:rPr>
        <w:t xml:space="preserve"> (e.g., for heat pump water heaters and smart thermostats). </w:t>
      </w:r>
    </w:p>
    <w:p w:rsidR="00000000" w:rsidDel="00000000" w:rsidP="00000000" w:rsidRDefault="00000000" w:rsidRPr="00000000" w14:paraId="00000017">
      <w:pPr>
        <w:numPr>
          <w:ilvl w:val="0"/>
          <w:numId w:val="2"/>
        </w:numPr>
        <w:ind w:left="720" w:hanging="360"/>
        <w:rPr>
          <w:rFonts w:ascii="Calibri" w:cs="Calibri" w:eastAsia="Calibri" w:hAnsi="Calibri"/>
          <w:sz w:val="22"/>
          <w:szCs w:val="22"/>
        </w:rPr>
      </w:pPr>
      <w:r w:rsidDel="00000000" w:rsidR="00000000" w:rsidRPr="00000000">
        <w:rPr>
          <w:sz w:val="22"/>
          <w:szCs w:val="22"/>
          <w:rtl w:val="0"/>
        </w:rPr>
        <w:t xml:space="preserve">Remote sensing and aerial photography is another possibility (e.g., for solar arrays or forest cover). Urban tree coverage is now being tracked. </w:t>
      </w:r>
    </w:p>
    <w:p w:rsidR="00000000" w:rsidDel="00000000" w:rsidP="00000000" w:rsidRDefault="00000000" w:rsidRPr="00000000" w14:paraId="00000018">
      <w:pPr>
        <w:numPr>
          <w:ilvl w:val="0"/>
          <w:numId w:val="2"/>
        </w:numPr>
        <w:ind w:left="720" w:hanging="360"/>
        <w:rPr>
          <w:rFonts w:ascii="Calibri" w:cs="Calibri" w:eastAsia="Calibri" w:hAnsi="Calibri"/>
          <w:sz w:val="22"/>
          <w:szCs w:val="22"/>
        </w:rPr>
      </w:pPr>
      <w:r w:rsidDel="00000000" w:rsidR="00000000" w:rsidRPr="00000000">
        <w:rPr>
          <w:sz w:val="22"/>
          <w:szCs w:val="22"/>
          <w:rtl w:val="0"/>
        </w:rPr>
        <w:t xml:space="preserve">Plant-rich diet—how many people are talking Vegan? For instance, we have good news media data from the library, so looking across all of the Georgia newspapers might be a possibility for assessing lifestyle-type actions like composting and recycling. Similarly, we could look at sales of plant-based meat alternatives over time to get an idea of the market, as many non-vegans may eat a plant-based meal a few days a week to help reduce their overall impact. </w:t>
      </w:r>
    </w:p>
    <w:p w:rsidR="00000000" w:rsidDel="00000000" w:rsidP="00000000" w:rsidRDefault="00000000" w:rsidRPr="00000000" w14:paraId="00000019">
      <w:pPr>
        <w:numPr>
          <w:ilvl w:val="0"/>
          <w:numId w:val="2"/>
        </w:numPr>
        <w:ind w:left="720" w:hanging="360"/>
        <w:rPr>
          <w:rFonts w:ascii="Calibri" w:cs="Calibri" w:eastAsia="Calibri" w:hAnsi="Calibri"/>
          <w:sz w:val="22"/>
          <w:szCs w:val="22"/>
        </w:rPr>
      </w:pPr>
      <w:r w:rsidDel="00000000" w:rsidR="00000000" w:rsidRPr="00000000">
        <w:rPr>
          <w:sz w:val="22"/>
          <w:szCs w:val="22"/>
          <w:rtl w:val="0"/>
        </w:rPr>
        <w:t xml:space="preserve">As for missing geospatial data, in the transportation area you might mention the National Household Travel Survey (conducted by ORNL).  See the “Compendium of Uses” at </w:t>
      </w:r>
      <w:hyperlink r:id="rId6">
        <w:r w:rsidDel="00000000" w:rsidR="00000000" w:rsidRPr="00000000">
          <w:rPr>
            <w:sz w:val="22"/>
            <w:szCs w:val="22"/>
            <w:rtl w:val="0"/>
          </w:rPr>
          <w:t xml:space="preserve">https://nhts.ornl.gov/assets/2020_compendium.pdf</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1A">
      <w:pPr>
        <w:spacing w:line="240" w:lineRule="auto"/>
        <w:rPr>
          <w:b w:val="1"/>
          <w:sz w:val="22"/>
          <w:szCs w:val="22"/>
        </w:rPr>
      </w:pPr>
      <w:r w:rsidDel="00000000" w:rsidR="00000000" w:rsidRPr="00000000">
        <w:rPr>
          <w:rtl w:val="0"/>
        </w:rPr>
      </w:r>
    </w:p>
    <w:p w:rsidR="00000000" w:rsidDel="00000000" w:rsidP="00000000" w:rsidRDefault="00000000" w:rsidRPr="00000000" w14:paraId="0000001B">
      <w:pPr>
        <w:spacing w:line="240" w:lineRule="auto"/>
        <w:rPr>
          <w:b w:val="1"/>
          <w:sz w:val="22"/>
          <w:szCs w:val="22"/>
        </w:rPr>
      </w:pPr>
      <w:r w:rsidDel="00000000" w:rsidR="00000000" w:rsidRPr="00000000">
        <w:rPr>
          <w:rtl w:val="0"/>
        </w:rPr>
      </w:r>
    </w:p>
    <w:p w:rsidR="00000000" w:rsidDel="00000000" w:rsidP="00000000" w:rsidRDefault="00000000" w:rsidRPr="00000000" w14:paraId="0000001C">
      <w:pPr>
        <w:spacing w:line="240" w:lineRule="auto"/>
        <w:rPr>
          <w:sz w:val="22"/>
          <w:szCs w:val="22"/>
        </w:rPr>
      </w:pPr>
      <w:r w:rsidDel="00000000" w:rsidR="00000000" w:rsidRPr="00000000">
        <w:rPr>
          <w:b w:val="1"/>
          <w:sz w:val="22"/>
          <w:szCs w:val="22"/>
          <w:rtl w:val="0"/>
        </w:rPr>
        <w:t xml:space="preserve">Additional Resources</w:t>
      </w:r>
      <w:r w:rsidDel="00000000" w:rsidR="00000000" w:rsidRPr="00000000">
        <w:rPr>
          <w:sz w:val="22"/>
          <w:szCs w:val="22"/>
          <w:rtl w:val="0"/>
        </w:rPr>
        <w:t xml:space="preserve"> </w:t>
      </w:r>
    </w:p>
    <w:p w:rsidR="00000000" w:rsidDel="00000000" w:rsidP="00000000" w:rsidRDefault="00000000" w:rsidRPr="00000000" w14:paraId="0000001D">
      <w:pPr>
        <w:spacing w:line="240" w:lineRule="auto"/>
        <w:rPr>
          <w:sz w:val="22"/>
          <w:szCs w:val="22"/>
        </w:rPr>
      </w:pPr>
      <w:r w:rsidDel="00000000" w:rsidR="00000000" w:rsidRPr="00000000">
        <w:rPr>
          <w:rtl w:val="0"/>
        </w:rPr>
      </w:r>
    </w:p>
    <w:p w:rsidR="00000000" w:rsidDel="00000000" w:rsidP="00000000" w:rsidRDefault="00000000" w:rsidRPr="00000000" w14:paraId="0000001E">
      <w:pPr>
        <w:spacing w:line="240" w:lineRule="auto"/>
        <w:rPr>
          <w:color w:val="000000"/>
          <w:sz w:val="22"/>
          <w:szCs w:val="22"/>
        </w:rPr>
      </w:pPr>
      <w:r w:rsidDel="00000000" w:rsidR="00000000" w:rsidRPr="00000000">
        <w:rPr>
          <w:color w:val="000000"/>
          <w:sz w:val="22"/>
          <w:szCs w:val="22"/>
          <w:rtl w:val="0"/>
        </w:rPr>
        <w:t xml:space="preserve">In 2020-21, Drawdown Georgia examined ~100 climate solutions and identified a set of 20 that appear to be most promising to reduce Georgia’s GHG emissions by 2030. </w:t>
      </w:r>
      <w:r w:rsidDel="00000000" w:rsidR="00000000" w:rsidRPr="00000000">
        <w:rPr>
          <w:sz w:val="22"/>
          <w:szCs w:val="22"/>
          <w:rtl w:val="0"/>
        </w:rPr>
        <w:t xml:space="preserve">You can read about these solutions and the Drawdown Georgia project </w:t>
      </w:r>
      <w:hyperlink r:id="rId7">
        <w:r w:rsidDel="00000000" w:rsidR="00000000" w:rsidRPr="00000000">
          <w:rPr>
            <w:color w:val="0000ff"/>
            <w:sz w:val="22"/>
            <w:szCs w:val="22"/>
            <w:u w:val="single"/>
            <w:rtl w:val="0"/>
          </w:rPr>
          <w:t xml:space="preserve">here</w:t>
        </w:r>
      </w:hyperlink>
      <w:r w:rsidDel="00000000" w:rsidR="00000000" w:rsidRPr="00000000">
        <w:rPr>
          <w:sz w:val="22"/>
          <w:szCs w:val="22"/>
          <w:rtl w:val="0"/>
        </w:rPr>
        <w:t xml:space="preserve"> . </w:t>
      </w:r>
      <w:r w:rsidDel="00000000" w:rsidR="00000000" w:rsidRPr="00000000">
        <w:rPr>
          <w:rtl w:val="0"/>
        </w:rPr>
      </w:r>
    </w:p>
    <w:p w:rsidR="00000000" w:rsidDel="00000000" w:rsidP="00000000" w:rsidRDefault="00000000" w:rsidRPr="00000000" w14:paraId="0000001F">
      <w:pPr>
        <w:spacing w:line="240" w:lineRule="auto"/>
        <w:rPr>
          <w:sz w:val="22"/>
          <w:szCs w:val="22"/>
        </w:rPr>
      </w:pPr>
      <w:r w:rsidDel="00000000" w:rsidR="00000000" w:rsidRPr="00000000">
        <w:rPr>
          <w:rtl w:val="0"/>
        </w:rPr>
      </w:r>
    </w:p>
    <w:p w:rsidR="00000000" w:rsidDel="00000000" w:rsidP="00000000" w:rsidRDefault="00000000" w:rsidRPr="00000000" w14:paraId="00000020">
      <w:pPr>
        <w:spacing w:line="240" w:lineRule="auto"/>
        <w:rPr>
          <w:sz w:val="22"/>
          <w:szCs w:val="22"/>
        </w:rPr>
      </w:pPr>
      <w:r w:rsidDel="00000000" w:rsidR="00000000" w:rsidRPr="00000000">
        <w:rPr>
          <w:sz w:val="22"/>
          <w:szCs w:val="22"/>
          <w:rtl w:val="0"/>
        </w:rPr>
        <w:t xml:space="preserve">The </w:t>
      </w:r>
      <w:hyperlink r:id="rId8">
        <w:r w:rsidDel="00000000" w:rsidR="00000000" w:rsidRPr="00000000">
          <w:rPr>
            <w:color w:val="0000ff"/>
            <w:sz w:val="22"/>
            <w:szCs w:val="22"/>
            <w:u w:val="single"/>
            <w:rtl w:val="0"/>
          </w:rPr>
          <w:t xml:space="preserve">Drawdown Georgia Research Portal</w:t>
        </w:r>
      </w:hyperlink>
      <w:r w:rsidDel="00000000" w:rsidR="00000000" w:rsidRPr="00000000">
        <w:rPr>
          <w:sz w:val="22"/>
          <w:szCs w:val="22"/>
          <w:rtl w:val="0"/>
        </w:rPr>
        <w:t xml:space="preserve"> has information compiled by the Drawdown Georgia project, about the high-impact climate solutions selected for Georgia. Also, at the bottom of the Georgia Tech </w:t>
      </w:r>
      <w:hyperlink r:id="rId9">
        <w:r w:rsidDel="00000000" w:rsidR="00000000" w:rsidRPr="00000000">
          <w:rPr>
            <w:color w:val="0000ff"/>
            <w:sz w:val="22"/>
            <w:szCs w:val="22"/>
            <w:u w:val="single"/>
            <w:rtl w:val="0"/>
          </w:rPr>
          <w:t xml:space="preserve">Climate Solutions Portal</w:t>
        </w:r>
      </w:hyperlink>
      <w:r w:rsidDel="00000000" w:rsidR="00000000" w:rsidRPr="00000000">
        <w:rPr>
          <w:sz w:val="22"/>
          <w:szCs w:val="22"/>
          <w:rtl w:val="0"/>
        </w:rPr>
        <w:t xml:space="preserve"> , you’ll find PPTs and videos covering five solutions.  For additional information about the broad-based activities of Drawdown Georgia, go to </w:t>
      </w:r>
      <w:hyperlink r:id="rId10">
        <w:r w:rsidDel="00000000" w:rsidR="00000000" w:rsidRPr="00000000">
          <w:rPr>
            <w:color w:val="1155cc"/>
            <w:sz w:val="22"/>
            <w:szCs w:val="22"/>
            <w:u w:val="single"/>
            <w:rtl w:val="0"/>
          </w:rPr>
          <w:t xml:space="preserve">drawdown.org</w:t>
        </w:r>
      </w:hyperlink>
      <w:r w:rsidDel="00000000" w:rsidR="00000000" w:rsidRPr="00000000">
        <w:rPr>
          <w:sz w:val="22"/>
          <w:szCs w:val="22"/>
          <w:rtl w:val="0"/>
        </w:rPr>
        <w:t xml:space="preserve">. </w:t>
      </w:r>
    </w:p>
    <w:p w:rsidR="00000000" w:rsidDel="00000000" w:rsidP="00000000" w:rsidRDefault="00000000" w:rsidRPr="00000000" w14:paraId="00000021">
      <w:pPr>
        <w:spacing w:line="240" w:lineRule="auto"/>
        <w:rPr>
          <w:sz w:val="22"/>
          <w:szCs w:val="22"/>
        </w:rPr>
      </w:pPr>
      <w:r w:rsidDel="00000000" w:rsidR="00000000" w:rsidRPr="00000000">
        <w:rPr>
          <w:rtl w:val="0"/>
        </w:rPr>
      </w:r>
    </w:p>
    <w:p w:rsidR="00000000" w:rsidDel="00000000" w:rsidP="00000000" w:rsidRDefault="00000000" w:rsidRPr="00000000" w14:paraId="00000022">
      <w:pPr>
        <w:shd w:fill="ffffff" w:val="clear"/>
        <w:spacing w:after="260" w:lineRule="auto"/>
        <w:rPr>
          <w:rFonts w:ascii="Roboto" w:cs="Roboto" w:eastAsia="Roboto" w:hAnsi="Roboto"/>
          <w:b w:val="1"/>
          <w:color w:val="333333"/>
          <w:sz w:val="22"/>
          <w:szCs w:val="22"/>
        </w:rPr>
      </w:pPr>
      <w:r w:rsidDel="00000000" w:rsidR="00000000" w:rsidRPr="00000000">
        <w:rPr>
          <w:rFonts w:ascii="Roboto" w:cs="Roboto" w:eastAsia="Roboto" w:hAnsi="Roboto"/>
          <w:b w:val="1"/>
          <w:color w:val="333333"/>
          <w:sz w:val="22"/>
          <w:szCs w:val="22"/>
          <w:rtl w:val="0"/>
        </w:rPr>
        <w:t xml:space="preserve">Here are Links to the PPTs and Videos for the Fall 2022 Seminar Series on Tracking Climate Solutions:</w:t>
      </w:r>
    </w:p>
    <w:p w:rsidR="00000000" w:rsidDel="00000000" w:rsidP="00000000" w:rsidRDefault="00000000" w:rsidRPr="00000000" w14:paraId="00000023">
      <w:pPr>
        <w:shd w:fill="ffffff" w:val="clear"/>
        <w:spacing w:after="260" w:lineRule="auto"/>
        <w:rPr>
          <w:color w:val="1155cc"/>
          <w:sz w:val="22"/>
          <w:szCs w:val="22"/>
        </w:rPr>
      </w:pPr>
      <w:r w:rsidDel="00000000" w:rsidR="00000000" w:rsidRPr="00000000">
        <w:rPr>
          <w:color w:val="333333"/>
          <w:sz w:val="22"/>
          <w:szCs w:val="22"/>
          <w:rtl w:val="0"/>
        </w:rPr>
        <w:t xml:space="preserve">Sept 15 - Composting &amp; Afforestation (Drs. Jeff Mullen &amp; Jackie Mohan) PPT </w:t>
      </w:r>
      <w:hyperlink r:id="rId11">
        <w:r w:rsidDel="00000000" w:rsidR="00000000" w:rsidRPr="00000000">
          <w:rPr>
            <w:color w:val="1155cc"/>
            <w:sz w:val="22"/>
            <w:szCs w:val="22"/>
            <w:rtl w:val="0"/>
          </w:rPr>
          <w:t xml:space="preserve">here</w:t>
        </w:r>
      </w:hyperlink>
      <w:r w:rsidDel="00000000" w:rsidR="00000000" w:rsidRPr="00000000">
        <w:rPr>
          <w:rtl w:val="0"/>
        </w:rPr>
      </w:r>
    </w:p>
    <w:p w:rsidR="00000000" w:rsidDel="00000000" w:rsidP="00000000" w:rsidRDefault="00000000" w:rsidRPr="00000000" w14:paraId="00000024">
      <w:pPr>
        <w:shd w:fill="ffffff" w:val="clear"/>
        <w:spacing w:after="260" w:lineRule="auto"/>
        <w:rPr>
          <w:color w:val="1155cc"/>
          <w:sz w:val="22"/>
          <w:szCs w:val="22"/>
        </w:rPr>
      </w:pPr>
      <w:r w:rsidDel="00000000" w:rsidR="00000000" w:rsidRPr="00000000">
        <w:rPr>
          <w:color w:val="333333"/>
          <w:sz w:val="22"/>
          <w:szCs w:val="22"/>
          <w:rtl w:val="0"/>
        </w:rPr>
        <w:t xml:space="preserve">Oct 6 - Electric Vehicles (Dr. Rich Simmons and Anne Blair) PPT </w:t>
      </w:r>
      <w:hyperlink r:id="rId12">
        <w:r w:rsidDel="00000000" w:rsidR="00000000" w:rsidRPr="00000000">
          <w:rPr>
            <w:color w:val="1155cc"/>
            <w:sz w:val="22"/>
            <w:szCs w:val="22"/>
            <w:rtl w:val="0"/>
          </w:rPr>
          <w:t xml:space="preserve">here</w:t>
        </w:r>
      </w:hyperlink>
      <w:r w:rsidDel="00000000" w:rsidR="00000000" w:rsidRPr="00000000">
        <w:rPr>
          <w:color w:val="333333"/>
          <w:sz w:val="22"/>
          <w:szCs w:val="22"/>
          <w:rtl w:val="0"/>
        </w:rPr>
        <w:t xml:space="preserve">; </w:t>
      </w:r>
      <w:hyperlink r:id="rId13">
        <w:r w:rsidDel="00000000" w:rsidR="00000000" w:rsidRPr="00000000">
          <w:rPr>
            <w:color w:val="1155cc"/>
            <w:sz w:val="22"/>
            <w:szCs w:val="22"/>
            <w:rtl w:val="0"/>
          </w:rPr>
          <w:t xml:space="preserve">video here</w:t>
        </w:r>
      </w:hyperlink>
      <w:r w:rsidDel="00000000" w:rsidR="00000000" w:rsidRPr="00000000">
        <w:rPr>
          <w:rtl w:val="0"/>
        </w:rPr>
      </w:r>
    </w:p>
    <w:p w:rsidR="00000000" w:rsidDel="00000000" w:rsidP="00000000" w:rsidRDefault="00000000" w:rsidRPr="00000000" w14:paraId="00000025">
      <w:pPr>
        <w:shd w:fill="ffffff" w:val="clear"/>
        <w:spacing w:after="260" w:lineRule="auto"/>
        <w:rPr>
          <w:color w:val="1155cc"/>
          <w:sz w:val="22"/>
          <w:szCs w:val="22"/>
        </w:rPr>
      </w:pPr>
      <w:r w:rsidDel="00000000" w:rsidR="00000000" w:rsidRPr="00000000">
        <w:rPr>
          <w:color w:val="333333"/>
          <w:sz w:val="22"/>
          <w:szCs w:val="22"/>
          <w:rtl w:val="0"/>
        </w:rPr>
        <w:t xml:space="preserve">Oct 14 - Rooftop Solar (Jeff Pratt and Bryan Jacob) PPT </w:t>
      </w:r>
      <w:hyperlink r:id="rId14">
        <w:r w:rsidDel="00000000" w:rsidR="00000000" w:rsidRPr="00000000">
          <w:rPr>
            <w:color w:val="1155cc"/>
            <w:sz w:val="22"/>
            <w:szCs w:val="22"/>
            <w:rtl w:val="0"/>
          </w:rPr>
          <w:t xml:space="preserve">here</w:t>
        </w:r>
      </w:hyperlink>
      <w:hyperlink r:id="rId15">
        <w:r w:rsidDel="00000000" w:rsidR="00000000" w:rsidRPr="00000000">
          <w:rPr>
            <w:color w:val="1155cc"/>
            <w:sz w:val="22"/>
            <w:szCs w:val="22"/>
            <w:rtl w:val="0"/>
          </w:rPr>
          <w:t xml:space="preserve">;</w:t>
        </w:r>
      </w:hyperlink>
      <w:r w:rsidDel="00000000" w:rsidR="00000000" w:rsidRPr="00000000">
        <w:rPr>
          <w:color w:val="333333"/>
          <w:sz w:val="22"/>
          <w:szCs w:val="22"/>
          <w:rtl w:val="0"/>
        </w:rPr>
        <w:t xml:space="preserve"> video </w:t>
      </w:r>
      <w:hyperlink r:id="rId16">
        <w:r w:rsidDel="00000000" w:rsidR="00000000" w:rsidRPr="00000000">
          <w:rPr>
            <w:color w:val="1155cc"/>
            <w:sz w:val="22"/>
            <w:szCs w:val="22"/>
            <w:rtl w:val="0"/>
          </w:rPr>
          <w:t xml:space="preserve">here</w:t>
        </w:r>
      </w:hyperlink>
      <w:r w:rsidDel="00000000" w:rsidR="00000000" w:rsidRPr="00000000">
        <w:rPr>
          <w:rtl w:val="0"/>
        </w:rPr>
      </w:r>
    </w:p>
    <w:p w:rsidR="00000000" w:rsidDel="00000000" w:rsidP="00000000" w:rsidRDefault="00000000" w:rsidRPr="00000000" w14:paraId="00000026">
      <w:pPr>
        <w:shd w:fill="ffffff" w:val="clear"/>
        <w:spacing w:after="260" w:lineRule="auto"/>
        <w:rPr>
          <w:color w:val="1155cc"/>
          <w:sz w:val="22"/>
          <w:szCs w:val="22"/>
        </w:rPr>
      </w:pPr>
      <w:r w:rsidDel="00000000" w:rsidR="00000000" w:rsidRPr="00000000">
        <w:rPr>
          <w:color w:val="333333"/>
          <w:sz w:val="22"/>
          <w:szCs w:val="22"/>
          <w:rtl w:val="0"/>
        </w:rPr>
        <w:t xml:space="preserve">Nov 3 - Recycling &amp; Circular Economy (Dr. Beril Toktay and Emma Brodzik) PPT </w:t>
      </w:r>
      <w:hyperlink r:id="rId17">
        <w:r w:rsidDel="00000000" w:rsidR="00000000" w:rsidRPr="00000000">
          <w:rPr>
            <w:color w:val="1155cc"/>
            <w:sz w:val="22"/>
            <w:szCs w:val="22"/>
            <w:rtl w:val="0"/>
          </w:rPr>
          <w:t xml:space="preserve">here</w:t>
        </w:r>
      </w:hyperlink>
      <w:r w:rsidDel="00000000" w:rsidR="00000000" w:rsidRPr="00000000">
        <w:rPr>
          <w:color w:val="333333"/>
          <w:sz w:val="22"/>
          <w:szCs w:val="22"/>
          <w:rtl w:val="0"/>
        </w:rPr>
        <w:t xml:space="preserve">; video </w:t>
      </w:r>
      <w:hyperlink r:id="rId18">
        <w:r w:rsidDel="00000000" w:rsidR="00000000" w:rsidRPr="00000000">
          <w:rPr>
            <w:color w:val="1155cc"/>
            <w:sz w:val="22"/>
            <w:szCs w:val="22"/>
            <w:rtl w:val="0"/>
          </w:rPr>
          <w:t xml:space="preserve">here</w:t>
        </w:r>
      </w:hyperlink>
      <w:r w:rsidDel="00000000" w:rsidR="00000000" w:rsidRPr="00000000">
        <w:rPr>
          <w:rtl w:val="0"/>
        </w:rPr>
      </w:r>
    </w:p>
    <w:p w:rsidR="00000000" w:rsidDel="00000000" w:rsidP="00000000" w:rsidRDefault="00000000" w:rsidRPr="00000000" w14:paraId="00000027">
      <w:pPr>
        <w:shd w:fill="ffffff" w:val="clear"/>
        <w:spacing w:after="260" w:lineRule="auto"/>
        <w:rPr>
          <w:sz w:val="22"/>
          <w:szCs w:val="22"/>
        </w:rPr>
      </w:pPr>
      <w:r w:rsidDel="00000000" w:rsidR="00000000" w:rsidRPr="00000000">
        <w:rPr>
          <w:color w:val="333333"/>
          <w:sz w:val="22"/>
          <w:szCs w:val="22"/>
          <w:rtl w:val="0"/>
        </w:rPr>
        <w:t xml:space="preserve">Nov 17 - Heat Pumps and Retrofitting (Garry Harris and Jeff Smith) PPT </w:t>
      </w:r>
      <w:hyperlink r:id="rId19">
        <w:r w:rsidDel="00000000" w:rsidR="00000000" w:rsidRPr="00000000">
          <w:rPr>
            <w:color w:val="1155cc"/>
            <w:sz w:val="22"/>
            <w:szCs w:val="22"/>
            <w:rtl w:val="0"/>
          </w:rPr>
          <w:t xml:space="preserve">here</w:t>
        </w:r>
      </w:hyperlink>
      <w:r w:rsidDel="00000000" w:rsidR="00000000" w:rsidRPr="00000000">
        <w:rPr>
          <w:color w:val="333333"/>
          <w:sz w:val="22"/>
          <w:szCs w:val="22"/>
          <w:rtl w:val="0"/>
        </w:rPr>
        <w:t xml:space="preserve">; video </w:t>
      </w:r>
      <w:hyperlink r:id="rId20">
        <w:r w:rsidDel="00000000" w:rsidR="00000000" w:rsidRPr="00000000">
          <w:rPr>
            <w:color w:val="1155cc"/>
            <w:sz w:val="22"/>
            <w:szCs w:val="22"/>
            <w:rtl w:val="0"/>
          </w:rPr>
          <w:t xml:space="preserve">here</w:t>
        </w:r>
      </w:hyperlink>
      <w:r w:rsidDel="00000000" w:rsidR="00000000" w:rsidRPr="00000000">
        <w:rPr>
          <w:rtl w:val="0"/>
        </w:rPr>
      </w:r>
    </w:p>
    <w:p w:rsidR="00000000" w:rsidDel="00000000" w:rsidP="00000000" w:rsidRDefault="00000000" w:rsidRPr="00000000" w14:paraId="00000028">
      <w:pPr>
        <w:rPr>
          <w:sz w:val="22"/>
          <w:szCs w:val="22"/>
        </w:rPr>
      </w:pPr>
      <w:r w:rsidDel="00000000" w:rsidR="00000000" w:rsidRPr="00000000">
        <w:rPr>
          <w:rtl w:val="0"/>
        </w:rPr>
      </w:r>
    </w:p>
    <w:sectPr>
      <w:headerReference r:id="rId21" w:type="default"/>
      <w:footerReference r:id="rId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-1069974</wp:posOffset>
          </wp:positionH>
          <wp:positionV relativeFrom="paragraph">
            <wp:posOffset>466725</wp:posOffset>
          </wp:positionV>
          <wp:extent cx="8051800" cy="25717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51800" cy="2571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6220301</wp:posOffset>
          </wp:positionH>
          <wp:positionV relativeFrom="paragraph">
            <wp:posOffset>-390524</wp:posOffset>
          </wp:positionV>
          <wp:extent cx="542449" cy="728663"/>
          <wp:effectExtent b="0" l="0" r="0" t="0"/>
          <wp:wrapSquare wrapText="bothSides" distB="19050" distT="19050" distL="19050" distR="1905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2449" cy="728663"/>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column">
            <wp:posOffset>-800099</wp:posOffset>
          </wp:positionH>
          <wp:positionV relativeFrom="paragraph">
            <wp:posOffset>-400049</wp:posOffset>
          </wp:positionV>
          <wp:extent cx="2757488" cy="668011"/>
          <wp:effectExtent b="0" l="0" r="0" t="0"/>
          <wp:wrapSquare wrapText="bothSides" distB="57150" distT="57150" distL="57150" distR="5715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757488" cy="668011"/>
                  </a:xfrm>
                  <a:prstGeom prst="rect"/>
                  <a:ln/>
                </pic:spPr>
              </pic:pic>
            </a:graphicData>
          </a:graphic>
        </wp:anchor>
      </w:drawing>
    </w:r>
  </w:p>
  <w:p w:rsidR="00000000" w:rsidDel="00000000" w:rsidP="00000000" w:rsidRDefault="00000000" w:rsidRPr="00000000" w14:paraId="0000002A">
    <w:pPr>
      <w:jc w:val="left"/>
      <w:rPr/>
    </w:pPr>
    <w:r w:rsidDel="00000000" w:rsidR="00000000" w:rsidRPr="00000000">
      <w:rPr>
        <w:rtl w:val="0"/>
      </w:rPr>
    </w:r>
  </w:p>
  <w:p w:rsidR="00000000" w:rsidDel="00000000" w:rsidP="00000000" w:rsidRDefault="00000000" w:rsidRPr="00000000" w14:paraId="0000002B">
    <w:pPr>
      <w:jc w:val="center"/>
      <w:rPr>
        <w:b w:val="1"/>
        <w:i w:val="1"/>
        <w:color w:val="201f1e"/>
        <w:sz w:val="18"/>
        <w:szCs w:val="18"/>
        <w:highlight w:val="white"/>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LgZJALNFLkXQzucsVudm1kcZwje1k1AO/view" TargetMode="External"/><Relationship Id="rId11" Type="http://schemas.openxmlformats.org/officeDocument/2006/relationships/hyperlink" Target="https://docs.google.com/presentation/d/1XPar7nJqSoKhGPHJesdT6hGp3hj0-p4a/edit#slide=id.p1" TargetMode="External"/><Relationship Id="rId22" Type="http://schemas.openxmlformats.org/officeDocument/2006/relationships/footer" Target="footer1.xml"/><Relationship Id="rId10" Type="http://schemas.openxmlformats.org/officeDocument/2006/relationships/hyperlink" Target="http://flyer" TargetMode="External"/><Relationship Id="rId21" Type="http://schemas.openxmlformats.org/officeDocument/2006/relationships/header" Target="header1.xml"/><Relationship Id="rId13" Type="http://schemas.openxmlformats.org/officeDocument/2006/relationships/hyperlink" Target="https://drive.google.com/drive/folders/1PLR0pC40OqC3ACqOH9jdMtYTZ-nGEkAr" TargetMode="External"/><Relationship Id="rId12" Type="http://schemas.openxmlformats.org/officeDocument/2006/relationships/hyperlink" Target="https://docs.google.com/presentation/d/1DHthNve8NG3B9iP4MTpacMdfiSABP9sc/edit#slide=id.p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imatesolutions.gatech.edu/" TargetMode="External"/><Relationship Id="rId15" Type="http://schemas.openxmlformats.org/officeDocument/2006/relationships/hyperlink" Target="https://docs.google.com/presentation/d/1l3roDWKvOtD3AGiLMeq1Tnjp2_SDPrbS/edit#slide=id.p1" TargetMode="External"/><Relationship Id="rId14" Type="http://schemas.openxmlformats.org/officeDocument/2006/relationships/hyperlink" Target="https://docs.google.com/presentation/d/156JeMHpEdGxVNoru5R70bUa_Vfqw6zJi/edit#slide=id.p1" TargetMode="External"/><Relationship Id="rId17" Type="http://schemas.openxmlformats.org/officeDocument/2006/relationships/hyperlink" Target="https://docs.google.com/presentation/d/1GyA7QtfqsbWk78OJJCGWf3h0VwcZQS1t/edit#slide=id.p1" TargetMode="External"/><Relationship Id="rId16" Type="http://schemas.openxmlformats.org/officeDocument/2006/relationships/hyperlink" Target="https://drive.google.com/file/d/1tyfNMgy2TA84TB_qD8kr9wEhwSa7YyA9/view?usp=sharing" TargetMode="External"/><Relationship Id="rId5" Type="http://schemas.openxmlformats.org/officeDocument/2006/relationships/styles" Target="styles.xml"/><Relationship Id="rId19" Type="http://schemas.openxmlformats.org/officeDocument/2006/relationships/hyperlink" Target="https://docs.google.com/presentation/d/1QAkCXPhYTgrG047ABlbq0_LBYmqSDKut/edit?usp=sharing&amp;ouid=103468044752694842969&amp;rtpof=true&amp;sd=true" TargetMode="External"/><Relationship Id="rId6" Type="http://schemas.openxmlformats.org/officeDocument/2006/relationships/hyperlink" Target="https://nhts.ornl.gov/assets/2020_compendium.pdf" TargetMode="External"/><Relationship Id="rId18" Type="http://schemas.openxmlformats.org/officeDocument/2006/relationships/hyperlink" Target="https://drive.google.com/drive/folders/1lVhs96TkDpIIsVb3Nw48_zU9d07Dq3uz" TargetMode="External"/><Relationship Id="rId7" Type="http://schemas.openxmlformats.org/officeDocument/2006/relationships/hyperlink" Target="https://www.pnas.org/content/118/31/e2100008118" TargetMode="External"/><Relationship Id="rId8" Type="http://schemas.openxmlformats.org/officeDocument/2006/relationships/hyperlink" Target="https://cepl.gatech.edu/projects/Georgia-Drawdow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